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10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一、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更改补充2017年度第七批车型目录</w:t>
      </w:r>
    </w:p>
    <w:p>
      <w:pPr>
        <w:spacing w:line="400" w:lineRule="atLeast"/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0" w:name="_Toc52675503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、四川野马汽车股份有限公司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SQJ6460M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发动机：GE15 (绵阳野马动力总成有限公司)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机外净化器：HYHS-M302-E5(四川绵阳华元航升环保科技有限公司)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燃油蒸发控制装置：1104210-</w:t>
      </w:r>
      <w:r>
        <w:rPr>
          <w:rFonts w:ascii="宋体" w:hAnsi="宋体" w:cs="宋体"/>
        </w:rPr>
        <w:t>Ⅳ</w:t>
      </w:r>
      <w:r>
        <w:rPr>
          <w:rFonts w:ascii="STSongStd-Light" w:hAnsi="STSongStd-Light" w:cs="STSongStd-Light"/>
        </w:rPr>
        <w:t>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氧传感器：前：X209006A(武汉菱电汽车电控系统股份有限公司)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>更改补充2017年度第十批车型目录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" w:name="_Toc526755032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、东风汽车有限公司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DFL7160VAL62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机外净化器：前：2GCA(广州三五汽车部件有限公司)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后：2GCB(无锡威孚力达催化净化器有限责任公司)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2GG0B(天津市格林利福新技术有限公司)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DFL7160VAL64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机外净化器：前：2GCA(广州三五汽车部件有限公司)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后：2GCB(无锡威孚力达催化净化器有限责任公司)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2GG0B(天津市格林利福新技术有限公司)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DFL7160VAL61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机外净化器：前：2GCA(广州三五汽车部件有限公司)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后：2GCB(无锡威孚力达催化净化器有限责任公司)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2GG0B(天津市格林利福新技术有限公司)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>更改补充2018年度第四批车型目录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2" w:name="_Toc52675503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、潍柴（重庆）汽车有限公司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YZ6450BEV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车辆座位数:由 7  更改为  5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基准质量:由 1630  更改为  1595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>更改补充2018年度第七批车型目录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" w:name="_Toc526755034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、上汽通用东岳汽车有限公司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SGM7135GAAA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发动机：LI5 (上汽通用东岳动力总成有限公司)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机外净化器：W78380(佛吉亚排气控制技术(烟台)有限公司)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燃油蒸发控制装置：0.81L9B2(凯塞汽车系统(长春)有限公司)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SGM7135GAAB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发动机：LI5 (上汽通用东岳动力总成有限公司)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机外净化器：W78380(佛吉亚排气控制技术(烟台)有限公司)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燃油蒸发控制装置：0.81L9B2(凯塞汽车系统(长春)有限公司)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SGM7135GMAA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发动机：LI5 (上汽通用东岳动力总成有限公司)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机外净化器：W78380(佛吉亚排气控制技术(烟台)有限公司)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燃油蒸发控制装置：0.81L9B2(凯塞汽车系统(长春)有限公司)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>更改补充2018年度第八批车型目录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4" w:name="_Toc526755035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、上汽通用东岳汽车有限公司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SGM7105GMA2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发动机：LJI (上汽通用汽车有限公司武汉分公司)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机外净化器：J79963(上海天纳克排气系统有限公司武汉分公司)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燃油蒸发控制装置：0.81L9B2(凯塞汽车系统(长春)有限公司)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SGM7105GAA1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发动机：LJI (上汽通用汽车有限公司武汉分公司)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机外净化器：J79963(上海天纳克排气系统有限公司武汉分公司)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燃油蒸发控制装置：0.81L9B2(凯塞汽车系统(长春)有限公司)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>更改补充2018年度第十二批车型目录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5" w:name="_Toc526755036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、航天新长征电动汽车技术有限公司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BYN5030XXYBEV3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TZ238XS30AHK  更改为  TZ238XS-30-HT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>更改补充2018年度第十三批车型目录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6" w:name="_Toc52675503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、新大洲本田摩托有限公司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SDH125T-35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发动机：SDH1P52QMI-7 (新大洲本田摩托有限公司)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机外净化器：前：2C5 A01(三井金属（珠海）环境技术有限公司)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后：2C5 A02(三井金属（珠海）环境技术有限公司)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氧传感器：DC2(NGK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发动机：SDH1P52QMI-7 (新大洲本田摩托有限公司)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机外净化器：前：2C5 A01(三井金属（珠海）环境技术有限公司)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后：2C5 A02(三井金属（珠海）环境技术有限公司)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氧传感器：ZSB(NGK Spark Plugs (Thailand)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>更改补充2018年度第十五批车型目录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7" w:name="_Toc52675503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SC6476AH5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/>
        </w:rPr>
      </w:pPr>
    </w:p>
    <w:p>
      <w:bookmarkStart w:id="8" w:name="_GoBack"/>
      <w:bookmarkEnd w:id="8"/>
    </w:p>
    <w:sectPr>
      <w:footerReference r:id="rId3" w:type="default"/>
      <w:pgSz w:w="11907" w:h="16840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33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2486"/>
    <w:rsid w:val="1DB47777"/>
    <w:rsid w:val="1F8C39B7"/>
    <w:rsid w:val="2BF75762"/>
    <w:rsid w:val="4AAA3B08"/>
    <w:rsid w:val="4B472788"/>
    <w:rsid w:val="4BC07FA4"/>
    <w:rsid w:val="4F3A5C22"/>
    <w:rsid w:val="4FA4703B"/>
    <w:rsid w:val="68C25862"/>
    <w:rsid w:val="69BA24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2018-10-09T01:18:00Z</dcterms:created>
  <dc:creator>白钰</dc:creator>
  <cp:lastModifiedBy>白钰</cp:lastModifiedBy>
  <dcterms:modified xsi:type="dcterms:W3CDTF">2018-10-09T01:21:31Z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